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0.0 -->
  <w:body>
    <w:p w:rsidR="002A269E" w:rsidP="00282BA0">
      <w:pPr>
        <w:pStyle w:val="ConsPlusNormal"/>
        <w:jc w:val="center"/>
      </w:pPr>
      <w:r>
        <w:t>Информация</w:t>
      </w:r>
      <w:r w:rsidR="008913E0">
        <w:t xml:space="preserve"> </w:t>
      </w:r>
      <w:r>
        <w:t xml:space="preserve">о ценах (тарифах) в сфере теплоснабжения на товары (услуги) регулируемой организации, </w:t>
      </w:r>
      <w:r w:rsidR="008913E0">
        <w:t>п</w:t>
      </w:r>
      <w:r>
        <w:t>одлежащих регулированию</w:t>
      </w:r>
      <w:r w:rsidR="00661B6B">
        <w:t xml:space="preserve"> 2026</w:t>
      </w:r>
      <w:r w:rsidR="009E3560">
        <w:t xml:space="preserve"> г.</w:t>
      </w:r>
    </w:p>
    <w:p w:rsidR="002A269E" w:rsidP="00282BA0">
      <w:pPr>
        <w:pStyle w:val="ConsPlusNormal"/>
        <w:jc w:val="center"/>
      </w:pPr>
    </w:p>
    <w:p w:rsidR="002A269E" w:rsidP="00282BA0">
      <w:pPr>
        <w:pStyle w:val="ConsPlusNormal"/>
        <w:jc w:val="center"/>
      </w:pPr>
    </w:p>
    <w:tbl>
      <w:tblPr>
        <w:tblW w:w="1110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70"/>
        <w:gridCol w:w="5134"/>
      </w:tblGrid>
      <w:tr w:rsidTr="002A269E">
        <w:tblPrEx>
          <w:tblW w:w="11104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33"/>
        </w:trPr>
        <w:tc>
          <w:tcPr>
            <w:tcW w:w="5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9E" w:rsidRPr="002A269E" w:rsidP="006D171A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Наименование органа тарифного регулирования, принявшего решение об установлении цены (тарифа) в сфере теплоснабжения</w:t>
            </w:r>
          </w:p>
        </w:tc>
        <w:tc>
          <w:tcPr>
            <w:tcW w:w="5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69E" w:rsidRPr="002A269E" w:rsidP="006D171A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Региональная энергетическая комиссия Свердловской области          </w:t>
            </w:r>
          </w:p>
        </w:tc>
      </w:tr>
      <w:tr w:rsidTr="002A269E">
        <w:tblPrEx>
          <w:tblW w:w="11104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33"/>
        </w:trPr>
        <w:tc>
          <w:tcPr>
            <w:tcW w:w="5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69E" w:rsidRPr="002A269E" w:rsidP="006D171A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Реквизиты (дата и номер) решения об установлении цены (тарифа)</w:t>
            </w:r>
          </w:p>
        </w:tc>
        <w:tc>
          <w:tcPr>
            <w:tcW w:w="5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3897" w:rsidP="006D171A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Постановление от </w:t>
            </w:r>
            <w:r w:rsidR="00661B6B">
              <w:rPr>
                <w:rFonts w:asciiTheme="minorHAnsi" w:hAnsiTheme="minorHAnsi" w:cs="Times New Roman"/>
                <w:sz w:val="22"/>
                <w:szCs w:val="22"/>
              </w:rPr>
              <w:t>15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="00DE7D8F">
              <w:rPr>
                <w:rFonts w:asciiTheme="minorHAnsi" w:hAnsiTheme="minorHAnsi" w:cs="Times New Roman"/>
                <w:sz w:val="22"/>
                <w:szCs w:val="22"/>
              </w:rPr>
              <w:t>декабря 202</w:t>
            </w:r>
            <w:r w:rsidR="00661B6B">
              <w:rPr>
                <w:rFonts w:asciiTheme="minorHAnsi" w:hAnsiTheme="minorHAnsi" w:cs="Times New Roman"/>
                <w:sz w:val="22"/>
                <w:szCs w:val="22"/>
              </w:rPr>
              <w:t>5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г. № </w:t>
            </w:r>
            <w:r w:rsidR="00DE7D8F">
              <w:rPr>
                <w:rFonts w:asciiTheme="minorHAnsi" w:hAnsiTheme="minorHAnsi" w:cs="Times New Roman"/>
                <w:sz w:val="22"/>
                <w:szCs w:val="22"/>
              </w:rPr>
              <w:t>2</w:t>
            </w:r>
            <w:r w:rsidR="00661B6B">
              <w:rPr>
                <w:rFonts w:asciiTheme="minorHAnsi" w:hAnsiTheme="minorHAnsi" w:cs="Times New Roman"/>
                <w:sz w:val="22"/>
                <w:szCs w:val="22"/>
              </w:rPr>
              <w:t>84</w:t>
            </w:r>
            <w:r w:rsidRPr="002A269E" w:rsidR="002A269E">
              <w:rPr>
                <w:rFonts w:asciiTheme="minorHAnsi" w:hAnsiTheme="minorHAnsi" w:cs="Times New Roman"/>
                <w:sz w:val="22"/>
                <w:szCs w:val="22"/>
              </w:rPr>
              <w:t xml:space="preserve">-ПК 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>(тариф на тепловую энергию)</w:t>
            </w:r>
          </w:p>
          <w:p w:rsidR="002A269E" w:rsidRPr="002A269E" w:rsidP="007A22CF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  <w:highlight w:val="yellow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Постановление от </w:t>
            </w:r>
            <w:r w:rsidR="00DE7D8F">
              <w:rPr>
                <w:rFonts w:asciiTheme="minorHAnsi" w:hAnsiTheme="minorHAnsi" w:cs="Times New Roman"/>
                <w:sz w:val="22"/>
                <w:szCs w:val="22"/>
              </w:rPr>
              <w:t>1</w:t>
            </w:r>
            <w:r w:rsidR="007A22CF">
              <w:rPr>
                <w:rFonts w:asciiTheme="minorHAnsi" w:hAnsiTheme="minorHAnsi" w:cs="Times New Roman"/>
                <w:sz w:val="22"/>
                <w:szCs w:val="22"/>
              </w:rPr>
              <w:t>5</w:t>
            </w:r>
            <w:r w:rsidR="00DE7D8F">
              <w:rPr>
                <w:rFonts w:asciiTheme="minorHAnsi" w:hAnsiTheme="minorHAnsi" w:cs="Times New Roman"/>
                <w:sz w:val="22"/>
                <w:szCs w:val="22"/>
              </w:rPr>
              <w:t xml:space="preserve"> декабря 202</w:t>
            </w:r>
            <w:r w:rsidR="007A22CF">
              <w:rPr>
                <w:rFonts w:asciiTheme="minorHAnsi" w:hAnsiTheme="minorHAnsi" w:cs="Times New Roman"/>
                <w:sz w:val="22"/>
                <w:szCs w:val="22"/>
              </w:rPr>
              <w:t>5</w:t>
            </w:r>
            <w:r w:rsidR="00DE7D8F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г. № </w:t>
            </w:r>
            <w:r w:rsidR="007A22CF">
              <w:rPr>
                <w:rFonts w:asciiTheme="minorHAnsi" w:hAnsiTheme="minorHAnsi" w:cs="Times New Roman"/>
                <w:sz w:val="22"/>
                <w:szCs w:val="22"/>
              </w:rPr>
              <w:t>295</w:t>
            </w: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>-ПК</w:t>
            </w:r>
            <w:r>
              <w:rPr>
                <w:rFonts w:asciiTheme="minorHAnsi" w:hAnsiTheme="minorHAnsi" w:cs="Times New Roman"/>
                <w:sz w:val="22"/>
                <w:szCs w:val="22"/>
              </w:rPr>
              <w:t xml:space="preserve"> (тариф на теплоноситель) </w:t>
            </w: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                                                       </w:t>
            </w: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 xml:space="preserve">                                                      </w:t>
            </w:r>
          </w:p>
        </w:tc>
      </w:tr>
      <w:tr w:rsidTr="002A269E">
        <w:tblPrEx>
          <w:tblW w:w="11104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33"/>
        </w:trPr>
        <w:tc>
          <w:tcPr>
            <w:tcW w:w="5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69E" w:rsidRPr="002A269E" w:rsidP="006D171A">
            <w:pPr>
              <w:pStyle w:val="ConsPlusCell"/>
              <w:widowControl/>
              <w:rPr>
                <w:rFonts w:asciiTheme="minorHAnsi" w:hAnsiTheme="minorHAnsi"/>
                <w:sz w:val="22"/>
                <w:szCs w:val="22"/>
              </w:rPr>
            </w:pPr>
            <w:r w:rsidRPr="002A269E">
              <w:rPr>
                <w:rFonts w:asciiTheme="minorHAnsi" w:hAnsiTheme="minorHAnsi"/>
                <w:sz w:val="22"/>
                <w:szCs w:val="22"/>
              </w:rPr>
              <w:t>Источник официального опубликования решения об установлении цены (тарифа) в сфере теплоснабжения</w:t>
            </w:r>
          </w:p>
        </w:tc>
        <w:tc>
          <w:tcPr>
            <w:tcW w:w="5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69E" w:rsidRPr="002A269E" w:rsidP="006D171A">
            <w:pPr>
              <w:pStyle w:val="ConsPlusCell"/>
              <w:widowControl/>
              <w:rPr>
                <w:rFonts w:asciiTheme="minorHAnsi" w:hAnsiTheme="minorHAnsi" w:cs="Times New Roman"/>
                <w:sz w:val="22"/>
                <w:szCs w:val="22"/>
              </w:rPr>
            </w:pPr>
            <w:r w:rsidRPr="002A269E">
              <w:rPr>
                <w:rFonts w:asciiTheme="minorHAnsi" w:hAnsiTheme="minorHAnsi" w:cs="Times New Roman"/>
                <w:sz w:val="22"/>
                <w:szCs w:val="22"/>
              </w:rPr>
              <w:t>rek.midural.ru</w:t>
            </w:r>
          </w:p>
        </w:tc>
      </w:tr>
    </w:tbl>
    <w:p w:rsidR="002A269E" w:rsidP="00282BA0">
      <w:pPr>
        <w:pStyle w:val="ConsPlusNormal"/>
        <w:jc w:val="center"/>
      </w:pPr>
    </w:p>
    <w:p w:rsidR="00CB5189" w:rsidP="00CB5189">
      <w:pPr>
        <w:pStyle w:val="ConsPlusNormal"/>
        <w:jc w:val="right"/>
        <w:outlineLvl w:val="1"/>
      </w:pPr>
      <w:r>
        <w:t>Форма 3</w:t>
      </w:r>
    </w:p>
    <w:p w:rsidR="00282BA0" w:rsidP="00282BA0">
      <w:pPr>
        <w:pStyle w:val="ConsPlusNormal"/>
        <w:jc w:val="center"/>
      </w:pPr>
    </w:p>
    <w:tbl>
      <w:tblPr>
        <w:tblW w:w="11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3124"/>
        <w:gridCol w:w="1020"/>
        <w:gridCol w:w="1383"/>
        <w:gridCol w:w="1190"/>
        <w:gridCol w:w="1162"/>
        <w:gridCol w:w="1199"/>
        <w:gridCol w:w="1128"/>
      </w:tblGrid>
      <w:tr w:rsidTr="00CB5189">
        <w:tblPrEx>
          <w:tblW w:w="1126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1261" w:type="dxa"/>
            <w:gridSpan w:val="8"/>
          </w:tcPr>
          <w:p w:rsidR="00CB5189" w:rsidP="006D171A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055" w:type="dxa"/>
            <w:vMerge w:val="restart"/>
          </w:tcPr>
          <w:p w:rsidR="00CB5189" w:rsidP="006D171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24" w:type="dxa"/>
            <w:vMerge w:val="restart"/>
          </w:tcPr>
          <w:p w:rsidR="00CB5189" w:rsidP="006D171A">
            <w:pPr>
              <w:pStyle w:val="ConsPlusNormal"/>
              <w:jc w:val="center"/>
            </w:pPr>
            <w:bookmarkStart w:id="0" w:name="P268"/>
            <w:bookmarkEnd w:id="0"/>
            <w:r>
              <w:t>Параметр дифференциации тарифа</w:t>
            </w:r>
          </w:p>
        </w:tc>
        <w:tc>
          <w:tcPr>
            <w:tcW w:w="7082" w:type="dxa"/>
            <w:gridSpan w:val="6"/>
          </w:tcPr>
          <w:p w:rsidR="00CB5189" w:rsidP="006D171A">
            <w:pPr>
              <w:pStyle w:val="ConsPlusNormal"/>
              <w:jc w:val="center"/>
            </w:pPr>
            <w:r>
              <w:t>Величина и срок действия тарифа</w:t>
            </w: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055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CB5189" w:rsidP="006D171A">
            <w:pPr>
              <w:pStyle w:val="ConsPlusNormal"/>
              <w:jc w:val="center"/>
            </w:pPr>
            <w:bookmarkStart w:id="1" w:name="P270"/>
            <w:bookmarkEnd w:id="1"/>
            <w:r>
              <w:t>Одноставочный</w:t>
            </w:r>
            <w:r>
              <w:t xml:space="preserve"> тариф, руб./Гкал</w:t>
            </w:r>
          </w:p>
        </w:tc>
        <w:tc>
          <w:tcPr>
            <w:tcW w:w="1383" w:type="dxa"/>
            <w:vMerge w:val="restart"/>
          </w:tcPr>
          <w:p w:rsidR="00CB5189" w:rsidP="006D171A">
            <w:pPr>
              <w:pStyle w:val="ConsPlusNormal"/>
              <w:jc w:val="center"/>
            </w:pPr>
            <w:bookmarkStart w:id="2" w:name="P271"/>
            <w:bookmarkEnd w:id="2"/>
            <w:r>
              <w:t>Ставка за содержание тепловой мощности, тыс. руб./Гкал/ч/мес.</w:t>
            </w:r>
          </w:p>
        </w:tc>
        <w:tc>
          <w:tcPr>
            <w:tcW w:w="2352" w:type="dxa"/>
            <w:gridSpan w:val="2"/>
          </w:tcPr>
          <w:p w:rsidR="00CB5189" w:rsidP="006D171A">
            <w:pPr>
              <w:pStyle w:val="ConsPlusNormal"/>
              <w:jc w:val="center"/>
            </w:pPr>
            <w:bookmarkStart w:id="3" w:name="P272"/>
            <w:bookmarkEnd w:id="3"/>
            <w:r>
              <w:t>Двухставочный</w:t>
            </w:r>
            <w:r>
              <w:t xml:space="preserve"> тариф</w:t>
            </w:r>
          </w:p>
        </w:tc>
        <w:tc>
          <w:tcPr>
            <w:tcW w:w="2327" w:type="dxa"/>
            <w:gridSpan w:val="2"/>
          </w:tcPr>
          <w:p w:rsidR="00CB5189" w:rsidP="006D171A">
            <w:pPr>
              <w:pStyle w:val="ConsPlusNormal"/>
              <w:jc w:val="center"/>
            </w:pPr>
            <w:r>
              <w:t>Срок действия</w:t>
            </w: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055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1020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1383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1190" w:type="dxa"/>
          </w:tcPr>
          <w:p w:rsidR="00CB5189" w:rsidP="006D171A">
            <w:pPr>
              <w:pStyle w:val="ConsPlusNormal"/>
              <w:jc w:val="center"/>
            </w:pPr>
            <w:r>
              <w:t>ставка за тепловую энергию, руб./Гкал</w:t>
            </w:r>
          </w:p>
        </w:tc>
        <w:tc>
          <w:tcPr>
            <w:tcW w:w="1162" w:type="dxa"/>
          </w:tcPr>
          <w:p w:rsidR="00CB5189" w:rsidP="006D171A">
            <w:pPr>
              <w:pStyle w:val="ConsPlusNormal"/>
              <w:jc w:val="center"/>
            </w:pPr>
            <w:r>
              <w:t>ставка за содержание тепловой мощности, тыс. руб./Гкал/ч/</w:t>
            </w:r>
            <w:r>
              <w:t>мес</w:t>
            </w:r>
          </w:p>
        </w:tc>
        <w:tc>
          <w:tcPr>
            <w:tcW w:w="1199" w:type="dxa"/>
          </w:tcPr>
          <w:p w:rsidR="00CB5189" w:rsidP="006D171A">
            <w:pPr>
              <w:pStyle w:val="ConsPlusNormal"/>
              <w:jc w:val="center"/>
            </w:pPr>
            <w:r>
              <w:t>дата начала</w:t>
            </w:r>
          </w:p>
        </w:tc>
        <w:tc>
          <w:tcPr>
            <w:tcW w:w="1128" w:type="dxa"/>
          </w:tcPr>
          <w:p w:rsidR="00CB5189" w:rsidP="006D171A">
            <w:pPr>
              <w:pStyle w:val="ConsPlusNormal"/>
              <w:jc w:val="center"/>
            </w:pPr>
            <w:bookmarkStart w:id="4" w:name="P277"/>
            <w:bookmarkEnd w:id="4"/>
            <w:r>
              <w:t>дата окончания</w:t>
            </w: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055" w:type="dxa"/>
            <w:vAlign w:val="center"/>
          </w:tcPr>
          <w:p w:rsidR="00CB5189" w:rsidP="006D171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24" w:type="dxa"/>
            <w:vAlign w:val="center"/>
          </w:tcPr>
          <w:p w:rsidR="00CB5189" w:rsidP="006D171A">
            <w:pPr>
              <w:pStyle w:val="ConsPlusNormal"/>
            </w:pPr>
            <w:r>
              <w:t>Наименование тарифа</w:t>
            </w:r>
          </w:p>
        </w:tc>
        <w:tc>
          <w:tcPr>
            <w:tcW w:w="7082" w:type="dxa"/>
            <w:gridSpan w:val="6"/>
          </w:tcPr>
          <w:p w:rsidR="00CB5189" w:rsidP="004B0ADA">
            <w:pPr>
              <w:pStyle w:val="ConsPlusNormal"/>
            </w:pPr>
            <w:r w:rsidRPr="005F70BE">
              <w:t>Тариф на тепловую энергию на коллекторах источника тепловой энергии</w:t>
            </w:r>
          </w:p>
          <w:p w:rsidR="00193897" w:rsidRPr="005F70BE" w:rsidP="004B0ADA">
            <w:pPr>
              <w:pStyle w:val="ConsPlusNormal"/>
            </w:pPr>
            <w:r>
              <w:t>Тариф на теплоноситель</w:t>
            </w: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 w:val="restart"/>
            <w:vAlign w:val="center"/>
          </w:tcPr>
          <w:p w:rsidR="00CB5189" w:rsidP="006D171A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124" w:type="dxa"/>
            <w:vMerge w:val="restart"/>
            <w:vAlign w:val="center"/>
          </w:tcPr>
          <w:p w:rsidR="00CB5189" w:rsidP="006D171A">
            <w:pPr>
              <w:pStyle w:val="ConsPlusNormal"/>
            </w:pPr>
            <w:r>
              <w:t>территория действия тарифа</w:t>
            </w:r>
          </w:p>
        </w:tc>
        <w:tc>
          <w:tcPr>
            <w:tcW w:w="7082" w:type="dxa"/>
            <w:gridSpan w:val="6"/>
            <w:vMerge w:val="restart"/>
          </w:tcPr>
          <w:p w:rsidR="00CB5189" w:rsidP="006D171A">
            <w:pPr>
              <w:pStyle w:val="ConsPlusNormal"/>
            </w:pPr>
            <w:r>
              <w:t>Серовский</w:t>
            </w:r>
            <w:r>
              <w:t xml:space="preserve"> городской округ</w:t>
            </w: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7082" w:type="dxa"/>
            <w:gridSpan w:val="6"/>
            <w:vMerge/>
          </w:tcPr>
          <w:p w:rsidR="00CB5189" w:rsidP="006D171A">
            <w:pPr>
              <w:pStyle w:val="ConsPlusNormal"/>
            </w:pP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 w:val="restart"/>
            <w:vAlign w:val="center"/>
          </w:tcPr>
          <w:p w:rsidR="00CB5189" w:rsidP="006D171A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3124" w:type="dxa"/>
            <w:vMerge w:val="restart"/>
            <w:vAlign w:val="center"/>
          </w:tcPr>
          <w:p w:rsidR="00CB5189" w:rsidP="006D171A">
            <w:pPr>
              <w:pStyle w:val="ConsPlusNormal"/>
            </w:pPr>
            <w:r>
              <w:t>наименование системы теплоснабжения</w:t>
            </w:r>
          </w:p>
        </w:tc>
        <w:tc>
          <w:tcPr>
            <w:tcW w:w="7082" w:type="dxa"/>
            <w:gridSpan w:val="6"/>
            <w:vMerge w:val="restart"/>
          </w:tcPr>
          <w:p w:rsidR="00CB5189" w:rsidP="006D171A">
            <w:pPr>
              <w:pStyle w:val="ConsPlusNormal"/>
            </w:pPr>
            <w:r>
              <w:t>Закрытая система теплоснабжения</w:t>
            </w: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7082" w:type="dxa"/>
            <w:gridSpan w:val="6"/>
            <w:vMerge/>
          </w:tcPr>
          <w:p w:rsidR="00CB5189" w:rsidP="006D171A">
            <w:pPr>
              <w:pStyle w:val="ConsPlusNormal"/>
            </w:pP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 w:val="restart"/>
            <w:vAlign w:val="center"/>
          </w:tcPr>
          <w:p w:rsidR="00CB5189" w:rsidP="006D171A">
            <w:pPr>
              <w:pStyle w:val="ConsPlusNormal"/>
              <w:jc w:val="center"/>
            </w:pPr>
            <w:r>
              <w:t>1.1.1.1</w:t>
            </w:r>
          </w:p>
        </w:tc>
        <w:tc>
          <w:tcPr>
            <w:tcW w:w="3124" w:type="dxa"/>
            <w:vMerge w:val="restart"/>
            <w:vAlign w:val="center"/>
          </w:tcPr>
          <w:p w:rsidR="00CB5189" w:rsidP="006D171A">
            <w:pPr>
              <w:pStyle w:val="ConsPlusNormal"/>
            </w:pPr>
            <w:r>
              <w:t>источник тепловой энергии</w:t>
            </w:r>
          </w:p>
        </w:tc>
        <w:tc>
          <w:tcPr>
            <w:tcW w:w="7082" w:type="dxa"/>
            <w:gridSpan w:val="6"/>
            <w:vMerge w:val="restart"/>
          </w:tcPr>
          <w:p w:rsidR="00CB5189" w:rsidP="006D171A">
            <w:pPr>
              <w:pStyle w:val="ConsPlusNormal"/>
            </w:pPr>
            <w:r w:rsidRPr="005F70BE">
              <w:t>Промышленная котельная</w:t>
            </w: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7082" w:type="dxa"/>
            <w:gridSpan w:val="6"/>
            <w:vMerge/>
          </w:tcPr>
          <w:p w:rsidR="00CB5189" w:rsidP="006D171A">
            <w:pPr>
              <w:pStyle w:val="ConsPlusNormal"/>
            </w:pP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 w:val="restart"/>
            <w:vAlign w:val="center"/>
          </w:tcPr>
          <w:p w:rsidR="00CB5189" w:rsidP="006D171A">
            <w:pPr>
              <w:pStyle w:val="ConsPlusNormal"/>
              <w:jc w:val="center"/>
            </w:pPr>
            <w:r>
              <w:t>1.1.1.1.1</w:t>
            </w:r>
          </w:p>
        </w:tc>
        <w:tc>
          <w:tcPr>
            <w:tcW w:w="3124" w:type="dxa"/>
            <w:vMerge w:val="restart"/>
            <w:vAlign w:val="center"/>
          </w:tcPr>
          <w:p w:rsidR="00CB5189" w:rsidP="006D171A">
            <w:pPr>
              <w:pStyle w:val="ConsPlusNormal"/>
            </w:pPr>
            <w:r>
              <w:t xml:space="preserve">схема подключения </w:t>
            </w:r>
            <w:r>
              <w:t>теплопотребляющей</w:t>
            </w:r>
            <w:r>
              <w:t xml:space="preserve"> установки к коллектору источника тепловой энергии</w:t>
            </w:r>
          </w:p>
        </w:tc>
        <w:tc>
          <w:tcPr>
            <w:tcW w:w="7082" w:type="dxa"/>
            <w:gridSpan w:val="6"/>
            <w:vMerge w:val="restart"/>
          </w:tcPr>
          <w:p w:rsidR="00CB5189" w:rsidP="006D171A">
            <w:pPr>
              <w:pStyle w:val="ConsPlusNormal"/>
            </w:pPr>
            <w:r>
              <w:t>к коллектору источника тепловой энергии</w:t>
            </w:r>
          </w:p>
        </w:tc>
      </w:tr>
      <w:tr w:rsidTr="00CB5189">
        <w:tblPrEx>
          <w:tblW w:w="11261" w:type="dxa"/>
          <w:tblBorders>
            <w:insideH w:val="nil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7082" w:type="dxa"/>
            <w:gridSpan w:val="6"/>
            <w:vMerge/>
          </w:tcPr>
          <w:p w:rsidR="00CB5189" w:rsidP="006D171A">
            <w:pPr>
              <w:pStyle w:val="ConsPlusNormal"/>
            </w:pP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7082" w:type="dxa"/>
            <w:gridSpan w:val="6"/>
            <w:vMerge/>
          </w:tcPr>
          <w:p w:rsidR="00CB5189" w:rsidP="006D171A">
            <w:pPr>
              <w:pStyle w:val="ConsPlusNormal"/>
            </w:pP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 w:val="restart"/>
            <w:vAlign w:val="center"/>
          </w:tcPr>
          <w:p w:rsidR="00CB5189" w:rsidP="006D171A">
            <w:pPr>
              <w:pStyle w:val="ConsPlusNormal"/>
              <w:jc w:val="center"/>
            </w:pPr>
            <w:r>
              <w:t>1.1.1.1.1.1</w:t>
            </w:r>
          </w:p>
        </w:tc>
        <w:tc>
          <w:tcPr>
            <w:tcW w:w="3124" w:type="dxa"/>
            <w:vMerge w:val="restart"/>
            <w:vAlign w:val="center"/>
          </w:tcPr>
          <w:p w:rsidR="00CB5189" w:rsidP="006D171A">
            <w:pPr>
              <w:pStyle w:val="ConsPlusNormal"/>
            </w:pPr>
            <w:r>
              <w:t>группа потребителей</w:t>
            </w:r>
          </w:p>
        </w:tc>
        <w:tc>
          <w:tcPr>
            <w:tcW w:w="7082" w:type="dxa"/>
            <w:gridSpan w:val="6"/>
            <w:vMerge w:val="restart"/>
          </w:tcPr>
          <w:p w:rsidR="00CB5189" w:rsidP="006D171A">
            <w:pPr>
              <w:pStyle w:val="ConsPlusNormal"/>
            </w:pPr>
            <w:r>
              <w:t>прочие</w:t>
            </w:r>
            <w:bookmarkStart w:id="5" w:name="_GoBack"/>
            <w:bookmarkEnd w:id="5"/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CB5189" w:rsidP="006D171A">
            <w:pPr>
              <w:pStyle w:val="ConsPlusNormal"/>
            </w:pPr>
          </w:p>
        </w:tc>
        <w:tc>
          <w:tcPr>
            <w:tcW w:w="7082" w:type="dxa"/>
            <w:gridSpan w:val="6"/>
            <w:vMerge/>
          </w:tcPr>
          <w:p w:rsidR="00CB5189" w:rsidP="006D171A">
            <w:pPr>
              <w:pStyle w:val="ConsPlusNormal"/>
            </w:pPr>
          </w:p>
        </w:tc>
      </w:tr>
      <w:tr w:rsidTr="00CB5189">
        <w:tblPrEx>
          <w:tblW w:w="11261" w:type="dxa"/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 w:val="restart"/>
            <w:vAlign w:val="center"/>
          </w:tcPr>
          <w:p w:rsidR="00193897" w:rsidP="006D171A">
            <w:pPr>
              <w:pStyle w:val="ConsPlusNormal"/>
              <w:jc w:val="center"/>
            </w:pPr>
            <w:r>
              <w:t>1.1.1.1.1.1.1</w:t>
            </w:r>
          </w:p>
        </w:tc>
        <w:tc>
          <w:tcPr>
            <w:tcW w:w="3124" w:type="dxa"/>
            <w:vMerge w:val="restart"/>
            <w:vAlign w:val="center"/>
          </w:tcPr>
          <w:p w:rsidR="00193897" w:rsidP="006D171A">
            <w:pPr>
              <w:pStyle w:val="ConsPlusNormal"/>
            </w:pPr>
            <w:r>
              <w:t>Вода (тепловая энергия)</w:t>
            </w:r>
          </w:p>
          <w:p w:rsidR="00193897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  <w:r>
              <w:t>Вода (теплоноситель)</w:t>
            </w:r>
          </w:p>
          <w:p w:rsidR="00193897" w:rsidP="006D171A">
            <w:pPr>
              <w:pStyle w:val="ConsPlusNormal"/>
            </w:pPr>
          </w:p>
        </w:tc>
        <w:tc>
          <w:tcPr>
            <w:tcW w:w="1020" w:type="dxa"/>
            <w:vMerge w:val="restart"/>
          </w:tcPr>
          <w:p w:rsidR="00DE7D8F" w:rsidP="006D171A">
            <w:pPr>
              <w:pStyle w:val="ConsPlusNormal"/>
            </w:pPr>
            <w:r>
              <w:t>1085,50</w:t>
            </w:r>
          </w:p>
          <w:p w:rsidR="00193897" w:rsidP="006D171A">
            <w:pPr>
              <w:pStyle w:val="ConsPlusNormal"/>
            </w:pPr>
            <w:r>
              <w:t>1176,46</w:t>
            </w:r>
          </w:p>
          <w:p w:rsidR="00193897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</w:p>
          <w:p w:rsidR="00611160" w:rsidP="006D171A">
            <w:pPr>
              <w:pStyle w:val="ConsPlusNormal"/>
            </w:pPr>
          </w:p>
          <w:p w:rsidR="00611160" w:rsidP="006D171A">
            <w:pPr>
              <w:pStyle w:val="ConsPlusNormal"/>
            </w:pPr>
          </w:p>
          <w:p w:rsidR="00DE7D8F" w:rsidP="006D171A">
            <w:pPr>
              <w:pStyle w:val="ConsPlusNormal"/>
            </w:pPr>
            <w:r>
              <w:t>16,44</w:t>
            </w:r>
          </w:p>
          <w:p w:rsidR="007A22CF" w:rsidP="006D171A">
            <w:pPr>
              <w:pStyle w:val="ConsPlusNormal"/>
            </w:pPr>
            <w:r>
              <w:t>18,43</w:t>
            </w:r>
          </w:p>
        </w:tc>
        <w:tc>
          <w:tcPr>
            <w:tcW w:w="1383" w:type="dxa"/>
            <w:vMerge w:val="restart"/>
          </w:tcPr>
          <w:p w:rsidR="00193897" w:rsidP="006D171A">
            <w:pPr>
              <w:pStyle w:val="ConsPlusNormal"/>
            </w:pPr>
          </w:p>
        </w:tc>
        <w:tc>
          <w:tcPr>
            <w:tcW w:w="1190" w:type="dxa"/>
            <w:vMerge w:val="restart"/>
          </w:tcPr>
          <w:p w:rsidR="00193897" w:rsidP="006D171A">
            <w:pPr>
              <w:pStyle w:val="ConsPlusNormal"/>
            </w:pPr>
          </w:p>
        </w:tc>
        <w:tc>
          <w:tcPr>
            <w:tcW w:w="1162" w:type="dxa"/>
            <w:vMerge w:val="restart"/>
          </w:tcPr>
          <w:p w:rsidR="00193897" w:rsidP="006D171A">
            <w:pPr>
              <w:pStyle w:val="ConsPlusNormal"/>
            </w:pPr>
          </w:p>
        </w:tc>
        <w:tc>
          <w:tcPr>
            <w:tcW w:w="1199" w:type="dxa"/>
            <w:vMerge w:val="restart"/>
          </w:tcPr>
          <w:p w:rsidR="00193897" w:rsidP="006D171A">
            <w:pPr>
              <w:pStyle w:val="ConsPlusNormal"/>
            </w:pPr>
            <w:r>
              <w:t>01.01.2026</w:t>
            </w:r>
          </w:p>
          <w:p w:rsidR="00193897" w:rsidP="006D171A">
            <w:pPr>
              <w:pStyle w:val="ConsPlusNormal"/>
            </w:pPr>
            <w:r>
              <w:t>01.</w:t>
            </w:r>
            <w:r w:rsidR="007A22CF">
              <w:t>1</w:t>
            </w:r>
            <w:r>
              <w:t>0</w:t>
            </w:r>
            <w:r w:rsidR="007A22CF">
              <w:t>.2026</w:t>
            </w:r>
          </w:p>
          <w:p w:rsidR="00193897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</w:p>
          <w:p w:rsidR="007A22CF" w:rsidP="006D171A">
            <w:pPr>
              <w:pStyle w:val="ConsPlusNormal"/>
            </w:pPr>
          </w:p>
          <w:p w:rsidR="00193897" w:rsidP="006D171A">
            <w:pPr>
              <w:pStyle w:val="ConsPlusNormal"/>
            </w:pPr>
            <w:r>
              <w:t>01.01.202</w:t>
            </w:r>
            <w:r w:rsidR="007A22CF">
              <w:t>6</w:t>
            </w:r>
          </w:p>
          <w:p w:rsidR="00611160" w:rsidP="006D171A">
            <w:pPr>
              <w:pStyle w:val="ConsPlusNormal"/>
            </w:pPr>
            <w:r>
              <w:t>01.10</w:t>
            </w:r>
            <w:r w:rsidR="00DE7D8F">
              <w:t>.202</w:t>
            </w:r>
            <w:r>
              <w:t>6</w:t>
            </w:r>
          </w:p>
          <w:p w:rsidR="00193897" w:rsidP="006D171A">
            <w:pPr>
              <w:pStyle w:val="ConsPlusNormal"/>
            </w:pPr>
          </w:p>
        </w:tc>
        <w:tc>
          <w:tcPr>
            <w:tcW w:w="1128" w:type="dxa"/>
            <w:vMerge w:val="restart"/>
          </w:tcPr>
          <w:p w:rsidR="00193897" w:rsidP="00D66C25">
            <w:pPr>
              <w:pStyle w:val="ConsPlusNormal"/>
            </w:pPr>
            <w:r>
              <w:t>30.09.2026</w:t>
            </w:r>
          </w:p>
          <w:p w:rsidR="00193897" w:rsidP="00D66C25">
            <w:pPr>
              <w:pStyle w:val="ConsPlusNormal"/>
            </w:pPr>
            <w:r>
              <w:t>31.12.202</w:t>
            </w:r>
            <w:r w:rsidR="007A22CF">
              <w:t>6</w:t>
            </w:r>
          </w:p>
          <w:p w:rsidR="00193897" w:rsidP="00D66C25">
            <w:pPr>
              <w:pStyle w:val="ConsPlusNormal"/>
            </w:pPr>
          </w:p>
          <w:p w:rsidR="00193897" w:rsidP="00D66C25">
            <w:pPr>
              <w:pStyle w:val="ConsPlusNormal"/>
            </w:pPr>
          </w:p>
          <w:p w:rsidR="00193897" w:rsidP="00D66C25">
            <w:pPr>
              <w:pStyle w:val="ConsPlusNormal"/>
            </w:pPr>
          </w:p>
          <w:p w:rsidR="007A22CF" w:rsidP="00611160">
            <w:pPr>
              <w:pStyle w:val="ConsPlusNormal"/>
            </w:pPr>
          </w:p>
          <w:p w:rsidR="00193897" w:rsidP="00611160">
            <w:pPr>
              <w:pStyle w:val="ConsPlusNormal"/>
            </w:pPr>
            <w:r>
              <w:t>3</w:t>
            </w:r>
            <w:r w:rsidR="00611160">
              <w:t>0</w:t>
            </w:r>
            <w:r>
              <w:t>.</w:t>
            </w:r>
            <w:r w:rsidR="00611160">
              <w:t>0</w:t>
            </w:r>
            <w:r w:rsidR="007A22CF">
              <w:t>9</w:t>
            </w:r>
            <w:r>
              <w:t>.202</w:t>
            </w:r>
            <w:r w:rsidR="007A22CF">
              <w:t>6</w:t>
            </w:r>
          </w:p>
          <w:p w:rsidR="00611160" w:rsidP="007A22CF">
            <w:pPr>
              <w:pStyle w:val="ConsPlusNormal"/>
            </w:pPr>
            <w:r>
              <w:t>31.12.202</w:t>
            </w:r>
            <w:r w:rsidR="007A22CF">
              <w:t>6</w:t>
            </w:r>
          </w:p>
        </w:tc>
      </w:tr>
      <w:tr w:rsidTr="00CB5189">
        <w:tblPrEx>
          <w:tblW w:w="11261" w:type="dxa"/>
          <w:tblBorders>
            <w:insideH w:val="nil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02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383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62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9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28" w:type="dxa"/>
            <w:vMerge/>
          </w:tcPr>
          <w:p w:rsidR="00193897" w:rsidP="006D171A">
            <w:pPr>
              <w:pStyle w:val="ConsPlusNormal"/>
            </w:pPr>
          </w:p>
        </w:tc>
      </w:tr>
      <w:tr w:rsidTr="00CB5189">
        <w:tblPrEx>
          <w:tblW w:w="11261" w:type="dxa"/>
          <w:tblBorders>
            <w:insideH w:val="nil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02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383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62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9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28" w:type="dxa"/>
            <w:vMerge/>
          </w:tcPr>
          <w:p w:rsidR="00193897" w:rsidP="006D171A">
            <w:pPr>
              <w:pStyle w:val="ConsPlusNormal"/>
            </w:pPr>
          </w:p>
        </w:tc>
      </w:tr>
      <w:tr w:rsidTr="00CB5189">
        <w:tblPrEx>
          <w:tblW w:w="11261" w:type="dxa"/>
          <w:tblBorders>
            <w:insideH w:val="nil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02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383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62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9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28" w:type="dxa"/>
            <w:vMerge/>
          </w:tcPr>
          <w:p w:rsidR="00193897" w:rsidP="006D171A">
            <w:pPr>
              <w:pStyle w:val="ConsPlusNormal"/>
            </w:pPr>
          </w:p>
        </w:tc>
      </w:tr>
      <w:tr w:rsidTr="00CB5189">
        <w:tblPrEx>
          <w:tblW w:w="11261" w:type="dxa"/>
          <w:tblBorders>
            <w:insideH w:val="nil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02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383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62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9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28" w:type="dxa"/>
            <w:vMerge/>
          </w:tcPr>
          <w:p w:rsidR="00193897" w:rsidP="006D171A">
            <w:pPr>
              <w:pStyle w:val="ConsPlusNormal"/>
            </w:pPr>
          </w:p>
        </w:tc>
      </w:tr>
      <w:tr w:rsidTr="00CB5189">
        <w:tblPrEx>
          <w:tblW w:w="11261" w:type="dxa"/>
          <w:tblBorders>
            <w:insideH w:val="nil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02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383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62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9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28" w:type="dxa"/>
            <w:vMerge/>
          </w:tcPr>
          <w:p w:rsidR="00193897" w:rsidP="006D171A">
            <w:pPr>
              <w:pStyle w:val="ConsPlusNormal"/>
            </w:pPr>
          </w:p>
        </w:tc>
      </w:tr>
      <w:tr w:rsidTr="00CB5189">
        <w:tblPrEx>
          <w:tblW w:w="11261" w:type="dxa"/>
          <w:tblBorders>
            <w:insideH w:val="nil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02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383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62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9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28" w:type="dxa"/>
            <w:vMerge/>
          </w:tcPr>
          <w:p w:rsidR="00193897" w:rsidP="006D171A">
            <w:pPr>
              <w:pStyle w:val="ConsPlusNormal"/>
            </w:pPr>
          </w:p>
        </w:tc>
      </w:tr>
      <w:tr w:rsidTr="00CB5189">
        <w:tblPrEx>
          <w:tblW w:w="11261" w:type="dxa"/>
          <w:tblBorders>
            <w:insideH w:val="nil"/>
          </w:tblBorders>
          <w:tblLayout w:type="fixed"/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69"/>
        </w:trPr>
        <w:tc>
          <w:tcPr>
            <w:tcW w:w="1055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3124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02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383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0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62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99" w:type="dxa"/>
            <w:vMerge/>
          </w:tcPr>
          <w:p w:rsidR="00193897" w:rsidP="006D171A">
            <w:pPr>
              <w:pStyle w:val="ConsPlusNormal"/>
            </w:pPr>
          </w:p>
        </w:tc>
        <w:tc>
          <w:tcPr>
            <w:tcW w:w="1128" w:type="dxa"/>
            <w:vMerge/>
          </w:tcPr>
          <w:p w:rsidR="00193897" w:rsidP="006D171A">
            <w:pPr>
              <w:pStyle w:val="ConsPlusNormal"/>
            </w:pPr>
          </w:p>
        </w:tc>
      </w:tr>
    </w:tbl>
    <w:p w:rsidR="00282BA0" w:rsidP="00282BA0">
      <w:pPr>
        <w:pStyle w:val="ConsPlusNormal"/>
        <w:jc w:val="both"/>
      </w:pPr>
    </w:p>
    <w:p w:rsidR="00282BA0" w:rsidP="00282BA0">
      <w:pPr>
        <w:pStyle w:val="ConsPlusNormal"/>
        <w:jc w:val="both"/>
      </w:pPr>
    </w:p>
    <w:p w:rsidR="0047378A"/>
    <w:sectPr w:rsidSect="00282BA0">
      <w:type w:val="continuous"/>
      <w:pgSz w:w="11907" w:h="16613"/>
      <w:pgMar w:top="284" w:right="567" w:bottom="284" w:left="28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BA0"/>
    <w:rsid w:val="00193897"/>
    <w:rsid w:val="00282BA0"/>
    <w:rsid w:val="002A269E"/>
    <w:rsid w:val="0047378A"/>
    <w:rsid w:val="004B0ADA"/>
    <w:rsid w:val="005F70BE"/>
    <w:rsid w:val="00611160"/>
    <w:rsid w:val="00661B6B"/>
    <w:rsid w:val="006D171A"/>
    <w:rsid w:val="007A22CF"/>
    <w:rsid w:val="008913E0"/>
    <w:rsid w:val="009E3560"/>
    <w:rsid w:val="00CB5189"/>
    <w:rsid w:val="00CC168A"/>
    <w:rsid w:val="00D66C25"/>
    <w:rsid w:val="00D83672"/>
    <w:rsid w:val="00DE7D8F"/>
    <w:rsid w:val="00F4636F"/>
    <w:rsid w:val="00F60874"/>
    <w:rsid w:val="00FF54D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6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282BA0"/>
    <w:pPr>
      <w:widowControl w:val="0"/>
      <w:autoSpaceDE w:val="0"/>
      <w:autoSpaceDN w:val="0"/>
      <w:spacing w:after="0" w:line="240" w:lineRule="auto"/>
    </w:pPr>
    <w:rPr>
      <w:rFonts w:ascii="Calibri" w:hAnsi="Calibri" w:eastAsiaTheme="minorEastAsia" w:cs="Calibri"/>
      <w:lang w:eastAsia="ru-RU"/>
    </w:rPr>
  </w:style>
  <w:style w:type="paragraph" w:customStyle="1" w:styleId="ConsPlusCell">
    <w:name w:val="ConsPlusCell"/>
    <w:uiPriority w:val="99"/>
    <w:rsid w:val="002A269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Theme="minorEastAsia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2</cp:revision>
  <dcterms:created xsi:type="dcterms:W3CDTF">2025-12-30T05:05:00Z</dcterms:created>
  <dcterms:modified xsi:type="dcterms:W3CDTF">2025-12-30T05:05:00Z</dcterms:modified>
</cp:coreProperties>
</file>